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503F1" w14:textId="77777777" w:rsidR="006B7D06" w:rsidRDefault="009F3392">
      <w:pPr>
        <w:ind w:right="117"/>
        <w:jc w:val="center"/>
        <w:rPr>
          <w:rFonts w:ascii="Cambria" w:eastAsia="Cambria" w:hAnsi="Cambria" w:cs="Cambria"/>
          <w:b/>
          <w:sz w:val="28"/>
          <w:szCs w:val="28"/>
        </w:rPr>
      </w:pPr>
      <w:bookmarkStart w:id="0" w:name="_GoBack"/>
      <w:bookmarkEnd w:id="0"/>
      <w:r>
        <w:rPr>
          <w:rFonts w:ascii="Cambria" w:eastAsia="Cambria" w:hAnsi="Cambria" w:cs="Cambria"/>
          <w:b/>
          <w:sz w:val="28"/>
          <w:szCs w:val="28"/>
        </w:rPr>
        <w:t>Quadro di riferimento per la redazione e lo svolgimento</w:t>
      </w:r>
    </w:p>
    <w:p w14:paraId="2F350FF7" w14:textId="77777777" w:rsidR="006B7D06" w:rsidRDefault="009F3392">
      <w:pPr>
        <w:ind w:right="117"/>
        <w:jc w:val="center"/>
        <w:rPr>
          <w:rFonts w:ascii="Cambria" w:eastAsia="Cambria" w:hAnsi="Cambria" w:cs="Cambria"/>
          <w:b/>
          <w:sz w:val="28"/>
          <w:szCs w:val="28"/>
        </w:rPr>
      </w:pPr>
      <w:r>
        <w:rPr>
          <w:rFonts w:ascii="Cambria" w:eastAsia="Cambria" w:hAnsi="Cambria" w:cs="Cambria"/>
          <w:b/>
          <w:sz w:val="28"/>
          <w:szCs w:val="28"/>
        </w:rPr>
        <w:t>della seconda prova scritta dell’esame di Stato</w:t>
      </w:r>
    </w:p>
    <w:p w14:paraId="21B24149" w14:textId="77777777" w:rsidR="006B7D06" w:rsidRDefault="006B7D06">
      <w:pPr>
        <w:ind w:right="117"/>
        <w:rPr>
          <w:rFonts w:ascii="Cambria" w:eastAsia="Cambria" w:hAnsi="Cambria" w:cs="Cambria"/>
        </w:rPr>
      </w:pPr>
    </w:p>
    <w:tbl>
      <w:tblPr>
        <w:tblStyle w:val="af1"/>
        <w:tblW w:w="8265"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65"/>
      </w:tblGrid>
      <w:tr w:rsidR="006B7D06" w14:paraId="6D20F516" w14:textId="77777777">
        <w:trPr>
          <w:trHeight w:val="842"/>
        </w:trPr>
        <w:tc>
          <w:tcPr>
            <w:tcW w:w="8265" w:type="dxa"/>
            <w:shd w:val="clear" w:color="auto" w:fill="auto"/>
            <w:tcMar>
              <w:top w:w="100" w:type="dxa"/>
              <w:left w:w="100" w:type="dxa"/>
              <w:bottom w:w="100" w:type="dxa"/>
              <w:right w:w="100" w:type="dxa"/>
            </w:tcMar>
          </w:tcPr>
          <w:p w14:paraId="4E7F5D18" w14:textId="77777777" w:rsidR="006B7D06" w:rsidRDefault="009F3392">
            <w:pPr>
              <w:ind w:right="117"/>
              <w:jc w:val="center"/>
              <w:rPr>
                <w:rFonts w:ascii="Cambria" w:eastAsia="Cambria" w:hAnsi="Cambria" w:cs="Cambria"/>
                <w:b/>
                <w:sz w:val="24"/>
                <w:szCs w:val="24"/>
              </w:rPr>
            </w:pPr>
            <w:r>
              <w:rPr>
                <w:rFonts w:ascii="Cambria" w:eastAsia="Cambria" w:hAnsi="Cambria" w:cs="Cambria"/>
                <w:b/>
                <w:sz w:val="24"/>
                <w:szCs w:val="24"/>
              </w:rPr>
              <w:t>ISTITUTO PROFESSIONALE</w:t>
            </w:r>
          </w:p>
          <w:p w14:paraId="072337D1" w14:textId="77777777" w:rsidR="006B7D06" w:rsidRDefault="009F3392">
            <w:pPr>
              <w:ind w:right="117"/>
              <w:jc w:val="center"/>
              <w:rPr>
                <w:rFonts w:ascii="Cambria" w:eastAsia="Cambria" w:hAnsi="Cambria" w:cs="Cambria"/>
                <w:i/>
              </w:rPr>
            </w:pPr>
            <w:r>
              <w:rPr>
                <w:rFonts w:ascii="Cambria" w:eastAsia="Cambria" w:hAnsi="Cambria" w:cs="Cambria"/>
                <w:b/>
                <w:i/>
                <w:sz w:val="24"/>
                <w:szCs w:val="24"/>
              </w:rPr>
              <w:t>Indirizzo: Agricoltura, sviluppo rurale, valorizzazione dei prodotti del territorio e gestione delle risorse forestali e montane</w:t>
            </w:r>
          </w:p>
        </w:tc>
      </w:tr>
    </w:tbl>
    <w:p w14:paraId="2467349F" w14:textId="77777777" w:rsidR="006B7D06" w:rsidRDefault="006B7D06">
      <w:pPr>
        <w:ind w:right="-25"/>
        <w:jc w:val="both"/>
        <w:rPr>
          <w:rFonts w:ascii="Cambria" w:eastAsia="Cambria" w:hAnsi="Cambria" w:cs="Cambria"/>
          <w:sz w:val="24"/>
          <w:szCs w:val="24"/>
        </w:rPr>
      </w:pPr>
    </w:p>
    <w:p w14:paraId="265A7355" w14:textId="77777777" w:rsidR="006B7D06" w:rsidRDefault="009F3392">
      <w:pPr>
        <w:ind w:right="-25"/>
        <w:jc w:val="center"/>
        <w:rPr>
          <w:rFonts w:ascii="Cambria" w:eastAsia="Cambria" w:hAnsi="Cambria" w:cs="Cambria"/>
          <w:b/>
          <w:sz w:val="24"/>
          <w:szCs w:val="24"/>
        </w:rPr>
      </w:pPr>
      <w:r>
        <w:rPr>
          <w:rFonts w:ascii="Cambria" w:eastAsia="Cambria" w:hAnsi="Cambria" w:cs="Cambria"/>
          <w:b/>
          <w:sz w:val="24"/>
          <w:szCs w:val="24"/>
        </w:rPr>
        <w:t>Caratteristiche della prova d’esame</w:t>
      </w:r>
    </w:p>
    <w:p w14:paraId="770746DD" w14:textId="77777777" w:rsidR="006B7D06" w:rsidRDefault="006B7D06">
      <w:pPr>
        <w:ind w:right="-25"/>
        <w:jc w:val="both"/>
        <w:rPr>
          <w:rFonts w:ascii="Cambria" w:eastAsia="Cambria" w:hAnsi="Cambria" w:cs="Cambria"/>
          <w:sz w:val="24"/>
          <w:szCs w:val="24"/>
        </w:rPr>
      </w:pPr>
    </w:p>
    <w:p w14:paraId="6D3674F5"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La prova richiede al candidato, da un lato, capacità di analisi, di scelta e di soluzione; dall’altro, il conseguimento delle competenze professionali cui sono correlati i nuclei tematici fondamentali.</w:t>
      </w:r>
    </w:p>
    <w:p w14:paraId="5D31D1C4" w14:textId="77777777" w:rsidR="006B7D06" w:rsidRDefault="006B7D06">
      <w:pPr>
        <w:ind w:right="-25"/>
        <w:jc w:val="both"/>
        <w:rPr>
          <w:rFonts w:ascii="Cambria" w:eastAsia="Cambria" w:hAnsi="Cambria" w:cs="Cambria"/>
          <w:sz w:val="24"/>
          <w:szCs w:val="24"/>
        </w:rPr>
      </w:pPr>
    </w:p>
    <w:p w14:paraId="5B49224B"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 xml:space="preserve">La prova potrà essere strutturata secondo una delle seguenti tipologie: </w:t>
      </w:r>
    </w:p>
    <w:p w14:paraId="1FB58C23" w14:textId="77777777" w:rsidR="006B7D06" w:rsidRDefault="006B7D06">
      <w:pPr>
        <w:widowControl w:val="0"/>
        <w:ind w:right="-25"/>
        <w:jc w:val="both"/>
        <w:rPr>
          <w:rFonts w:ascii="Cambria" w:eastAsia="Cambria" w:hAnsi="Cambria" w:cs="Cambria"/>
          <w:sz w:val="24"/>
          <w:szCs w:val="24"/>
        </w:rPr>
      </w:pPr>
    </w:p>
    <w:p w14:paraId="12CDDBFB"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A </w:t>
      </w:r>
    </w:p>
    <w:p w14:paraId="7E7CE7AC" w14:textId="77777777" w:rsidR="006B7D06" w:rsidRDefault="009F3392">
      <w:pPr>
        <w:widowControl w:val="0"/>
        <w:spacing w:line="234" w:lineRule="auto"/>
        <w:ind w:right="-25"/>
        <w:jc w:val="both"/>
        <w:rPr>
          <w:rFonts w:ascii="Cambria" w:eastAsia="Cambria" w:hAnsi="Cambria" w:cs="Cambria"/>
          <w:strike/>
          <w:sz w:val="24"/>
          <w:szCs w:val="24"/>
        </w:rPr>
      </w:pPr>
      <w:r>
        <w:rPr>
          <w:rFonts w:ascii="Cambria" w:eastAsia="Cambria" w:hAnsi="Cambria" w:cs="Cambria"/>
          <w:sz w:val="24"/>
          <w:szCs w:val="24"/>
        </w:rPr>
        <w:t>Analisi ed elaborazione di un tema relativo al percorso professionale sulla base di documenti, tabelle e dati, con particolare riferimento all’utilizzo delle risorse digitali nei processi di comunicazione.</w:t>
      </w:r>
    </w:p>
    <w:p w14:paraId="18D0BA3B"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B </w:t>
      </w:r>
    </w:p>
    <w:p w14:paraId="1A852FF2" w14:textId="77777777" w:rsidR="006B7D06" w:rsidRDefault="009F3392">
      <w:pPr>
        <w:widowControl w:val="0"/>
        <w:spacing w:line="235" w:lineRule="auto"/>
        <w:ind w:right="-25"/>
        <w:jc w:val="both"/>
        <w:rPr>
          <w:rFonts w:ascii="Cambria" w:eastAsia="Cambria" w:hAnsi="Cambria" w:cs="Cambria"/>
          <w:sz w:val="24"/>
          <w:szCs w:val="24"/>
        </w:rPr>
      </w:pPr>
      <w:r>
        <w:rPr>
          <w:rFonts w:ascii="Cambria" w:eastAsia="Cambria" w:hAnsi="Cambria" w:cs="Cambria"/>
          <w:sz w:val="24"/>
          <w:szCs w:val="24"/>
        </w:rPr>
        <w:t>Analisi e soluzione di problematiche in un contesto operativo riguardante la propria area professionale (caso aziendale) con particolare riferimento alle valutazioni di carattere economico.</w:t>
      </w:r>
    </w:p>
    <w:p w14:paraId="028D0779"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C </w:t>
      </w:r>
    </w:p>
    <w:p w14:paraId="7764550A" w14:textId="77777777" w:rsidR="006B7D06" w:rsidRDefault="009F3392">
      <w:pPr>
        <w:widowControl w:val="0"/>
        <w:spacing w:line="233" w:lineRule="auto"/>
        <w:ind w:right="-25"/>
        <w:jc w:val="both"/>
        <w:rPr>
          <w:rFonts w:ascii="Cambria" w:eastAsia="Cambria" w:hAnsi="Cambria" w:cs="Cambria"/>
          <w:sz w:val="24"/>
          <w:szCs w:val="24"/>
        </w:rPr>
      </w:pPr>
      <w:r>
        <w:rPr>
          <w:rFonts w:ascii="Cambria" w:eastAsia="Cambria" w:hAnsi="Cambria" w:cs="Cambria"/>
          <w:sz w:val="24"/>
          <w:szCs w:val="24"/>
        </w:rPr>
        <w:t>Individuazione e predisposizione delle fasi per la realizzazione di un prodotto o di un servizio con particolare riferimento all’utilizzo di strumenti e procedure.</w:t>
      </w:r>
    </w:p>
    <w:p w14:paraId="5F1F67A8" w14:textId="77777777" w:rsidR="006B7D06" w:rsidRDefault="009F3392">
      <w:pPr>
        <w:widowControl w:val="0"/>
        <w:ind w:right="-25"/>
        <w:jc w:val="both"/>
        <w:rPr>
          <w:rFonts w:ascii="Cambria" w:eastAsia="Cambria" w:hAnsi="Cambria" w:cs="Cambria"/>
          <w:sz w:val="24"/>
          <w:szCs w:val="24"/>
        </w:rPr>
      </w:pPr>
      <w:r>
        <w:rPr>
          <w:rFonts w:ascii="Cambria" w:eastAsia="Cambria" w:hAnsi="Cambria" w:cs="Cambria"/>
          <w:sz w:val="24"/>
          <w:szCs w:val="24"/>
        </w:rPr>
        <w:t xml:space="preserve">TIPOLOGIA D </w:t>
      </w:r>
    </w:p>
    <w:p w14:paraId="52D86EB9" w14:textId="77777777" w:rsidR="006B7D06" w:rsidRDefault="009F3392">
      <w:pPr>
        <w:widowControl w:val="0"/>
        <w:spacing w:line="233" w:lineRule="auto"/>
        <w:ind w:right="-25"/>
        <w:jc w:val="both"/>
        <w:rPr>
          <w:rFonts w:ascii="Cambria" w:eastAsia="Cambria" w:hAnsi="Cambria" w:cs="Cambria"/>
          <w:sz w:val="24"/>
          <w:szCs w:val="24"/>
        </w:rPr>
      </w:pPr>
      <w:r>
        <w:rPr>
          <w:rFonts w:ascii="Cambria" w:eastAsia="Cambria" w:hAnsi="Cambria" w:cs="Cambria"/>
          <w:sz w:val="24"/>
          <w:szCs w:val="24"/>
        </w:rPr>
        <w:t>Elaborazione di un progetto finalizzato all’innovazione della filiera di produzione e/o alla promozione del settore professionale con particolare riferimento all’approccio comunicativo.</w:t>
      </w:r>
    </w:p>
    <w:p w14:paraId="541C8F1D" w14:textId="77777777" w:rsidR="006B7D06" w:rsidRDefault="006B7D06">
      <w:pPr>
        <w:ind w:right="-25"/>
        <w:jc w:val="both"/>
        <w:rPr>
          <w:rFonts w:ascii="Cambria" w:eastAsia="Cambria" w:hAnsi="Cambria" w:cs="Cambria"/>
          <w:sz w:val="24"/>
          <w:szCs w:val="24"/>
        </w:rPr>
      </w:pPr>
    </w:p>
    <w:p w14:paraId="66AB388E"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 xml:space="preserve">La traccia sarà predisposta, nella modalità di seguito specificata, in modo da proporre temi, situazioni problematiche, progetti ecc. che consentano, in modo integrato, di accertare le conoscenze, le abilità e le competenze attese in esito all’indirizzo e quelle caratterizzanti lo specifico percorso. </w:t>
      </w:r>
    </w:p>
    <w:p w14:paraId="51A58470" w14:textId="77777777" w:rsidR="006B7D06" w:rsidRDefault="009F3392">
      <w:pPr>
        <w:ind w:right="-25"/>
        <w:jc w:val="both"/>
        <w:rPr>
          <w:rFonts w:ascii="Cambria" w:eastAsia="Cambria" w:hAnsi="Cambria" w:cs="Cambria"/>
          <w:sz w:val="24"/>
          <w:szCs w:val="24"/>
        </w:rPr>
      </w:pPr>
      <w:r>
        <w:rPr>
          <w:rFonts w:ascii="Cambria" w:eastAsia="Cambria" w:hAnsi="Cambria" w:cs="Cambria"/>
          <w:sz w:val="24"/>
          <w:szCs w:val="24"/>
        </w:rPr>
        <w:t xml:space="preserve">La parte nazionale della prova indicherà la tipologia e il/i nucleo/i tematico/i fondamentale/i d’indirizzo cui la prova dovrà fare riferimento; la commissione declinerà le indicazioni ministeriali in relazione allo specifico percorso formativo attivato dall’istituzione scolastica, con riguardo al codice ATECO di riferimento, in coerenza con le specificità del Piano dell’offerta formativa e della dotazione tecnologica e laboratoriale d’istituto. </w:t>
      </w:r>
    </w:p>
    <w:p w14:paraId="55D6A942" w14:textId="77777777" w:rsidR="006B7D06" w:rsidRDefault="006B7D06">
      <w:pPr>
        <w:ind w:right="-25"/>
        <w:jc w:val="both"/>
        <w:rPr>
          <w:rFonts w:ascii="Cambria" w:eastAsia="Cambria" w:hAnsi="Cambria" w:cs="Cambria"/>
          <w:sz w:val="24"/>
          <w:szCs w:val="24"/>
        </w:rPr>
      </w:pPr>
    </w:p>
    <w:p w14:paraId="27282A63" w14:textId="77777777" w:rsidR="006B7D06" w:rsidRDefault="009F3392">
      <w:pPr>
        <w:ind w:right="-25"/>
        <w:jc w:val="both"/>
        <w:rPr>
          <w:rFonts w:ascii="Cambria" w:eastAsia="Cambria" w:hAnsi="Cambria" w:cs="Cambria"/>
          <w:b/>
          <w:sz w:val="24"/>
          <w:szCs w:val="24"/>
          <w:u w:val="single"/>
        </w:rPr>
      </w:pPr>
      <w:r>
        <w:rPr>
          <w:rFonts w:ascii="Cambria" w:eastAsia="Cambria" w:hAnsi="Cambria" w:cs="Cambria"/>
          <w:sz w:val="24"/>
          <w:szCs w:val="24"/>
        </w:rPr>
        <w:t>La durata della prova può essere compresa tra 6 e 12 ore.</w:t>
      </w:r>
    </w:p>
    <w:p w14:paraId="4AEED089" w14:textId="77777777" w:rsidR="006B7D06" w:rsidRDefault="006B7D06">
      <w:pPr>
        <w:ind w:right="-25"/>
        <w:jc w:val="both"/>
        <w:rPr>
          <w:rFonts w:ascii="Cambria" w:eastAsia="Cambria" w:hAnsi="Cambria" w:cs="Cambria"/>
          <w:b/>
          <w:sz w:val="24"/>
          <w:szCs w:val="24"/>
          <w:u w:val="single"/>
        </w:rPr>
      </w:pPr>
    </w:p>
    <w:p w14:paraId="46C2F6EE" w14:textId="77777777" w:rsidR="006B7D06" w:rsidRDefault="009F3392">
      <w:pPr>
        <w:ind w:right="-25"/>
        <w:jc w:val="both"/>
        <w:rPr>
          <w:rFonts w:ascii="Cambria" w:eastAsia="Cambria" w:hAnsi="Cambria" w:cs="Cambria"/>
          <w:i/>
          <w:sz w:val="24"/>
          <w:szCs w:val="24"/>
        </w:rPr>
      </w:pPr>
      <w:r>
        <w:rPr>
          <w:rFonts w:ascii="Cambria" w:eastAsia="Cambria" w:hAnsi="Cambria" w:cs="Cambria"/>
          <w:sz w:val="24"/>
          <w:szCs w:val="24"/>
        </w:rPr>
        <w:t>Ferma restando l’unicità della prova, ed esclusivamente nel caso in cui la prova stessa preveda anche l’esecuzione in ambito laboratoriale di quanto progettato, la Commissione, tenuto conto delle esigenze organizzative, si può riservare la possibilità di far svolgere la prova in due giorni, il primo dei quali dedicato esclusivamente alle attività laboratoriali, fornendo ai candidati specifiche consegne all’inizio di ciascuna giornata d’esame. Ciascuna giornata d’esame può avere una durata massima di 6 ore.</w:t>
      </w:r>
    </w:p>
    <w:p w14:paraId="4087D629" w14:textId="77777777" w:rsidR="006B7D06" w:rsidRDefault="006B7D06">
      <w:pPr>
        <w:ind w:right="-25"/>
        <w:jc w:val="both"/>
        <w:rPr>
          <w:rFonts w:ascii="Cambria" w:eastAsia="Cambria" w:hAnsi="Cambria" w:cs="Cambria"/>
          <w:sz w:val="24"/>
          <w:szCs w:val="24"/>
        </w:rPr>
      </w:pPr>
    </w:p>
    <w:p w14:paraId="362FCA99" w14:textId="77777777" w:rsidR="006B7D06" w:rsidRDefault="006B7D06">
      <w:pPr>
        <w:ind w:right="117"/>
        <w:jc w:val="center"/>
        <w:rPr>
          <w:rFonts w:ascii="Cambria" w:eastAsia="Cambria" w:hAnsi="Cambria" w:cs="Cambria"/>
        </w:rPr>
      </w:pPr>
    </w:p>
    <w:tbl>
      <w:tblPr>
        <w:tblStyle w:val="af2"/>
        <w:tblW w:w="840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3"/>
      </w:tblGrid>
      <w:tr w:rsidR="006B7D06" w14:paraId="4CCD0E41" w14:textId="77777777">
        <w:trPr>
          <w:trHeight w:val="180"/>
        </w:trPr>
        <w:tc>
          <w:tcPr>
            <w:tcW w:w="8403" w:type="dxa"/>
            <w:shd w:val="clear" w:color="auto" w:fill="D9D9D9"/>
            <w:tcMar>
              <w:top w:w="100" w:type="dxa"/>
              <w:left w:w="100" w:type="dxa"/>
              <w:bottom w:w="100" w:type="dxa"/>
              <w:right w:w="100" w:type="dxa"/>
            </w:tcMar>
          </w:tcPr>
          <w:p w14:paraId="627C120B" w14:textId="77777777" w:rsidR="006B7D06" w:rsidRDefault="009F3392">
            <w:pPr>
              <w:jc w:val="center"/>
              <w:rPr>
                <w:rFonts w:ascii="Cambria" w:eastAsia="Cambria" w:hAnsi="Cambria" w:cs="Cambria"/>
                <w:b/>
                <w:i/>
                <w:sz w:val="24"/>
                <w:szCs w:val="24"/>
              </w:rPr>
            </w:pPr>
            <w:r>
              <w:rPr>
                <w:rFonts w:ascii="Cambria" w:eastAsia="Cambria" w:hAnsi="Cambria" w:cs="Cambria"/>
                <w:b/>
                <w:sz w:val="24"/>
                <w:szCs w:val="24"/>
              </w:rPr>
              <w:t>Nuclei tematici fondamentali di indirizzo correlati alle competenze</w:t>
            </w:r>
          </w:p>
        </w:tc>
      </w:tr>
      <w:tr w:rsidR="006B7D06" w14:paraId="483BAC3A" w14:textId="77777777" w:rsidTr="009F3392">
        <w:trPr>
          <w:trHeight w:val="3943"/>
        </w:trPr>
        <w:tc>
          <w:tcPr>
            <w:tcW w:w="8403" w:type="dxa"/>
            <w:shd w:val="clear" w:color="auto" w:fill="auto"/>
            <w:tcMar>
              <w:top w:w="100" w:type="dxa"/>
              <w:left w:w="100" w:type="dxa"/>
              <w:bottom w:w="100" w:type="dxa"/>
              <w:right w:w="100" w:type="dxa"/>
            </w:tcMar>
          </w:tcPr>
          <w:p w14:paraId="71A8C0C8"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 xml:space="preserve">1. I processi produttivi relativi alle produzioni vegetali, zootecniche e </w:t>
            </w:r>
            <w:proofErr w:type="spellStart"/>
            <w:r>
              <w:rPr>
                <w:rFonts w:ascii="Cambria" w:eastAsia="Cambria" w:hAnsi="Cambria" w:cs="Cambria"/>
                <w:sz w:val="24"/>
                <w:szCs w:val="24"/>
              </w:rPr>
              <w:t>silvocolturali</w:t>
            </w:r>
            <w:proofErr w:type="spellEnd"/>
            <w:r>
              <w:rPr>
                <w:rFonts w:ascii="Cambria" w:eastAsia="Cambria" w:hAnsi="Cambria" w:cs="Cambria"/>
                <w:sz w:val="24"/>
                <w:szCs w:val="24"/>
              </w:rPr>
              <w:t>, alle trasformazioni agroalimentari ed alle utilizzazioni forestali.</w:t>
            </w:r>
          </w:p>
          <w:p w14:paraId="71F8AB72"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2. La sostenibilità ambientale, sociale ed economica dei processi produttivi.</w:t>
            </w:r>
          </w:p>
          <w:p w14:paraId="6BD618BE"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3. Valutazioni economiche e scelte imprenditoriali.</w:t>
            </w:r>
          </w:p>
          <w:p w14:paraId="0F801342"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4. Politica agraria e forestale, sociologia rurale, assistenza tecnica e divulgazione in agricoltura e gestione del territorio.</w:t>
            </w:r>
          </w:p>
          <w:p w14:paraId="3F6F838C"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 xml:space="preserve">5. I processi di innovazione nel settore agroalimentare e forestale. </w:t>
            </w:r>
          </w:p>
          <w:p w14:paraId="34167105"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6. Sicurezza/benessere e conoscenza del mercato del lavoro di riferimento.</w:t>
            </w:r>
          </w:p>
          <w:p w14:paraId="5BFA9A84" w14:textId="77777777" w:rsidR="006B7D06" w:rsidRDefault="009F3392">
            <w:pPr>
              <w:ind w:right="100"/>
              <w:jc w:val="both"/>
              <w:rPr>
                <w:rFonts w:ascii="Cambria" w:eastAsia="Cambria" w:hAnsi="Cambria" w:cs="Cambria"/>
                <w:sz w:val="24"/>
                <w:szCs w:val="24"/>
              </w:rPr>
            </w:pPr>
            <w:r>
              <w:rPr>
                <w:rFonts w:ascii="Cambria" w:eastAsia="Cambria" w:hAnsi="Cambria" w:cs="Cambria"/>
                <w:sz w:val="24"/>
                <w:szCs w:val="24"/>
              </w:rPr>
              <w:t>7. Marketing, commercializzazione, qualità delle produzioni, consumi agroalimentari ed utilizzazioni forestali.</w:t>
            </w:r>
          </w:p>
          <w:p w14:paraId="3806A1A8" w14:textId="77777777" w:rsidR="006B7D06" w:rsidRDefault="006B7D06">
            <w:pPr>
              <w:jc w:val="both"/>
              <w:rPr>
                <w:rFonts w:ascii="Cambria" w:eastAsia="Cambria" w:hAnsi="Cambria" w:cs="Cambria"/>
                <w:sz w:val="24"/>
                <w:szCs w:val="24"/>
              </w:rPr>
            </w:pPr>
          </w:p>
          <w:p w14:paraId="71746C7D" w14:textId="1BDDCF01" w:rsidR="006B7D06" w:rsidRDefault="009F3392">
            <w:pPr>
              <w:jc w:val="both"/>
              <w:rPr>
                <w:rFonts w:ascii="Cambria" w:eastAsia="Cambria" w:hAnsi="Cambria" w:cs="Cambria"/>
                <w:sz w:val="24"/>
                <w:szCs w:val="24"/>
              </w:rPr>
            </w:pPr>
            <w:r>
              <w:rPr>
                <w:rFonts w:ascii="Cambria" w:eastAsia="Cambria" w:hAnsi="Cambria" w:cs="Cambria"/>
                <w:sz w:val="24"/>
                <w:szCs w:val="24"/>
              </w:rPr>
              <w:t>N.B.</w:t>
            </w:r>
          </w:p>
          <w:p w14:paraId="1A72FC09" w14:textId="77777777" w:rsidR="006B7D06" w:rsidRDefault="009F3392">
            <w:pPr>
              <w:jc w:val="both"/>
              <w:rPr>
                <w:rFonts w:ascii="Cambria" w:eastAsia="Cambria" w:hAnsi="Cambria" w:cs="Cambria"/>
                <w:sz w:val="24"/>
                <w:szCs w:val="24"/>
              </w:rPr>
            </w:pPr>
            <w:r>
              <w:rPr>
                <w:rFonts w:ascii="Cambria" w:eastAsia="Cambria" w:hAnsi="Cambria" w:cs="Cambria"/>
                <w:sz w:val="24"/>
                <w:szCs w:val="24"/>
              </w:rPr>
              <w:t>La prova conterrà sempre un riferimento al nucleo tematico 1 a cui aggiungere il riferimento ad uno o più fra gli ulteriori nuclei tematici citati</w:t>
            </w:r>
          </w:p>
        </w:tc>
      </w:tr>
      <w:tr w:rsidR="006B7D06" w14:paraId="3D690969" w14:textId="77777777">
        <w:trPr>
          <w:trHeight w:val="79"/>
        </w:trPr>
        <w:tc>
          <w:tcPr>
            <w:tcW w:w="8403" w:type="dxa"/>
            <w:shd w:val="clear" w:color="auto" w:fill="D9D9D9"/>
            <w:tcMar>
              <w:top w:w="100" w:type="dxa"/>
              <w:left w:w="100" w:type="dxa"/>
              <w:bottom w:w="100" w:type="dxa"/>
              <w:right w:w="100" w:type="dxa"/>
            </w:tcMar>
          </w:tcPr>
          <w:p w14:paraId="344B076F"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Obiettivi della prova</w:t>
            </w:r>
          </w:p>
        </w:tc>
      </w:tr>
      <w:tr w:rsidR="006B7D06" w14:paraId="5F1B8244" w14:textId="77777777">
        <w:trPr>
          <w:trHeight w:val="1985"/>
        </w:trPr>
        <w:tc>
          <w:tcPr>
            <w:tcW w:w="8403" w:type="dxa"/>
            <w:shd w:val="clear" w:color="auto" w:fill="auto"/>
            <w:tcMar>
              <w:top w:w="100" w:type="dxa"/>
              <w:left w:w="100" w:type="dxa"/>
              <w:bottom w:w="100" w:type="dxa"/>
              <w:right w:w="100" w:type="dxa"/>
            </w:tcMar>
          </w:tcPr>
          <w:p w14:paraId="019AE40E" w14:textId="77777777" w:rsidR="006B7D06" w:rsidRDefault="009F3392">
            <w:pPr>
              <w:widowControl w:val="0"/>
              <w:numPr>
                <w:ilvl w:val="0"/>
                <w:numId w:val="1"/>
              </w:numPr>
              <w:pBdr>
                <w:top w:val="nil"/>
                <w:left w:val="nil"/>
                <w:bottom w:val="nil"/>
                <w:right w:val="nil"/>
                <w:between w:val="nil"/>
              </w:pBdr>
              <w:spacing w:line="244"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Redigere la prova in forma coerente, corretta e con linguaggio appropriato rispetto alla traccia proposta.</w:t>
            </w:r>
          </w:p>
          <w:p w14:paraId="2E2B9792" w14:textId="77777777" w:rsidR="006B7D06" w:rsidRDefault="009F3392">
            <w:pPr>
              <w:widowControl w:val="0"/>
              <w:numPr>
                <w:ilvl w:val="0"/>
                <w:numId w:val="1"/>
              </w:numPr>
              <w:pBdr>
                <w:top w:val="nil"/>
                <w:left w:val="nil"/>
                <w:bottom w:val="nil"/>
                <w:right w:val="nil"/>
                <w:between w:val="nil"/>
              </w:pBdr>
              <w:spacing w:line="242"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 xml:space="preserve">Dimostrare padronanza </w:t>
            </w:r>
            <w:r>
              <w:rPr>
                <w:rFonts w:ascii="Cambria" w:eastAsia="Cambria" w:hAnsi="Cambria" w:cs="Cambria"/>
                <w:sz w:val="24"/>
                <w:szCs w:val="24"/>
              </w:rPr>
              <w:t>per</w:t>
            </w:r>
            <w:r>
              <w:rPr>
                <w:rFonts w:ascii="Cambria" w:eastAsia="Cambria" w:hAnsi="Cambria" w:cs="Cambria"/>
                <w:color w:val="000000"/>
                <w:sz w:val="24"/>
                <w:szCs w:val="24"/>
              </w:rPr>
              <w:t xml:space="preserve"> conoscenze ed abilità richieste nello svolgimento della prova ed indicate nei risultati di apprendimento del profilo di indiri</w:t>
            </w:r>
            <w:r>
              <w:rPr>
                <w:rFonts w:ascii="Cambria" w:eastAsia="Cambria" w:hAnsi="Cambria" w:cs="Cambria"/>
                <w:sz w:val="24"/>
                <w:szCs w:val="24"/>
              </w:rPr>
              <w:t>zzo</w:t>
            </w:r>
            <w:r>
              <w:rPr>
                <w:rFonts w:ascii="Cambria" w:eastAsia="Cambria" w:hAnsi="Cambria" w:cs="Cambria"/>
                <w:color w:val="000000"/>
                <w:sz w:val="24"/>
                <w:szCs w:val="24"/>
              </w:rPr>
              <w:t>.</w:t>
            </w:r>
          </w:p>
          <w:p w14:paraId="59629581" w14:textId="77777777" w:rsidR="006B7D06" w:rsidRDefault="009F3392">
            <w:pPr>
              <w:widowControl w:val="0"/>
              <w:numPr>
                <w:ilvl w:val="0"/>
                <w:numId w:val="1"/>
              </w:numPr>
              <w:pBdr>
                <w:top w:val="nil"/>
                <w:left w:val="nil"/>
                <w:bottom w:val="nil"/>
                <w:right w:val="nil"/>
                <w:between w:val="nil"/>
              </w:pBdr>
              <w:spacing w:line="242"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Dimostrare conoscenz</w:t>
            </w:r>
            <w:r>
              <w:rPr>
                <w:rFonts w:ascii="Cambria" w:eastAsia="Cambria" w:hAnsi="Cambria" w:cs="Cambria"/>
                <w:sz w:val="24"/>
                <w:szCs w:val="24"/>
              </w:rPr>
              <w:t>a</w:t>
            </w:r>
            <w:r>
              <w:rPr>
                <w:rFonts w:ascii="Cambria" w:eastAsia="Cambria" w:hAnsi="Cambria" w:cs="Cambria"/>
                <w:color w:val="000000"/>
                <w:sz w:val="24"/>
                <w:szCs w:val="24"/>
              </w:rPr>
              <w:t xml:space="preserve"> del contesto territoriale e del settore socio-economico e lavorativo di riferimento. </w:t>
            </w:r>
          </w:p>
          <w:p w14:paraId="360E568F" w14:textId="77777777" w:rsidR="006B7D06" w:rsidRDefault="009F3392">
            <w:pPr>
              <w:widowControl w:val="0"/>
              <w:numPr>
                <w:ilvl w:val="0"/>
                <w:numId w:val="1"/>
              </w:numPr>
              <w:pBdr>
                <w:top w:val="nil"/>
                <w:left w:val="nil"/>
                <w:bottom w:val="nil"/>
                <w:right w:val="nil"/>
                <w:between w:val="nil"/>
              </w:pBdr>
              <w:spacing w:line="242" w:lineRule="auto"/>
              <w:ind w:left="472" w:right="99"/>
              <w:jc w:val="both"/>
              <w:rPr>
                <w:rFonts w:ascii="Cambria" w:eastAsia="Cambria" w:hAnsi="Cambria" w:cs="Cambria"/>
                <w:color w:val="000000"/>
                <w:sz w:val="24"/>
                <w:szCs w:val="24"/>
              </w:rPr>
            </w:pPr>
            <w:r>
              <w:rPr>
                <w:rFonts w:ascii="Cambria" w:eastAsia="Cambria" w:hAnsi="Cambria" w:cs="Cambria"/>
                <w:color w:val="000000"/>
                <w:sz w:val="24"/>
                <w:szCs w:val="24"/>
              </w:rPr>
              <w:t>Utilizzare le competenze acquisite, anche con riferimento a capacità innovative e creative.</w:t>
            </w:r>
          </w:p>
        </w:tc>
      </w:tr>
    </w:tbl>
    <w:p w14:paraId="3D614E22" w14:textId="77777777" w:rsidR="006B7D06" w:rsidRDefault="006B7D06">
      <w:pPr>
        <w:rPr>
          <w:rFonts w:ascii="Cambria" w:eastAsia="Cambria" w:hAnsi="Cambria" w:cs="Cambria"/>
        </w:rPr>
      </w:pPr>
    </w:p>
    <w:p w14:paraId="58FF499D" w14:textId="77777777" w:rsidR="006B7D06" w:rsidRDefault="006B7D06">
      <w:pPr>
        <w:rPr>
          <w:rFonts w:ascii="Cambria" w:eastAsia="Cambria" w:hAnsi="Cambria" w:cs="Cambria"/>
        </w:rPr>
      </w:pPr>
    </w:p>
    <w:p w14:paraId="54B7EF04"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 xml:space="preserve">Griglia di valutazione per l’attribuzione dei punteggi </w:t>
      </w:r>
    </w:p>
    <w:p w14:paraId="2F594445" w14:textId="77777777" w:rsidR="006B7D06" w:rsidRDefault="006B7D06">
      <w:pPr>
        <w:widowControl w:val="0"/>
        <w:rPr>
          <w:rFonts w:ascii="Cambria" w:eastAsia="Cambria" w:hAnsi="Cambria" w:cs="Cambria"/>
        </w:rPr>
      </w:pPr>
    </w:p>
    <w:p w14:paraId="0E9CE06A" w14:textId="77777777" w:rsidR="006B7D06" w:rsidRDefault="006B7D06">
      <w:pPr>
        <w:rPr>
          <w:rFonts w:ascii="Cambria" w:eastAsia="Cambria" w:hAnsi="Cambria" w:cs="Cambria"/>
        </w:rPr>
      </w:pPr>
    </w:p>
    <w:tbl>
      <w:tblPr>
        <w:tblStyle w:val="af3"/>
        <w:tblW w:w="85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4"/>
        <w:gridCol w:w="1701"/>
      </w:tblGrid>
      <w:tr w:rsidR="006B7D06" w14:paraId="776827F6" w14:textId="77777777">
        <w:tc>
          <w:tcPr>
            <w:tcW w:w="6804" w:type="dxa"/>
            <w:shd w:val="clear" w:color="auto" w:fill="E6E6E6"/>
          </w:tcPr>
          <w:p w14:paraId="3359F1B7"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 xml:space="preserve">Indicatore </w:t>
            </w:r>
            <w:r>
              <w:rPr>
                <w:rFonts w:ascii="Cambria" w:eastAsia="Cambria" w:hAnsi="Cambria" w:cs="Cambria"/>
                <w:i/>
                <w:sz w:val="24"/>
                <w:szCs w:val="24"/>
              </w:rPr>
              <w:t>(correlato agli obiettivi della prova)</w:t>
            </w:r>
          </w:p>
        </w:tc>
        <w:tc>
          <w:tcPr>
            <w:tcW w:w="1701" w:type="dxa"/>
            <w:shd w:val="clear" w:color="auto" w:fill="E6E6E6"/>
          </w:tcPr>
          <w:p w14:paraId="1C9ABD98" w14:textId="77777777" w:rsidR="006B7D06" w:rsidRDefault="009F3392">
            <w:pPr>
              <w:jc w:val="center"/>
              <w:rPr>
                <w:rFonts w:ascii="Cambria" w:eastAsia="Cambria" w:hAnsi="Cambria" w:cs="Cambria"/>
                <w:b/>
                <w:sz w:val="24"/>
                <w:szCs w:val="24"/>
              </w:rPr>
            </w:pPr>
            <w:r>
              <w:rPr>
                <w:rFonts w:ascii="Cambria" w:eastAsia="Cambria" w:hAnsi="Cambria" w:cs="Cambria"/>
                <w:b/>
                <w:sz w:val="24"/>
                <w:szCs w:val="24"/>
              </w:rPr>
              <w:t>Punteggio massimo</w:t>
            </w:r>
          </w:p>
        </w:tc>
      </w:tr>
      <w:tr w:rsidR="006B7D06" w14:paraId="06CFB995" w14:textId="77777777">
        <w:tc>
          <w:tcPr>
            <w:tcW w:w="6804" w:type="dxa"/>
          </w:tcPr>
          <w:p w14:paraId="71D20DF6"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Coerenza, correttezza e proprietà di linguaggio</w:t>
            </w:r>
          </w:p>
        </w:tc>
        <w:tc>
          <w:tcPr>
            <w:tcW w:w="1701" w:type="dxa"/>
          </w:tcPr>
          <w:p w14:paraId="226E917A"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5</w:t>
            </w:r>
          </w:p>
        </w:tc>
      </w:tr>
      <w:tr w:rsidR="006B7D06" w14:paraId="47051501" w14:textId="77777777">
        <w:tc>
          <w:tcPr>
            <w:tcW w:w="6804" w:type="dxa"/>
          </w:tcPr>
          <w:p w14:paraId="6A0F4ECF"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Padronanza di conoscenze ed abilità</w:t>
            </w:r>
          </w:p>
        </w:tc>
        <w:tc>
          <w:tcPr>
            <w:tcW w:w="1701" w:type="dxa"/>
          </w:tcPr>
          <w:p w14:paraId="684F588D"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7</w:t>
            </w:r>
          </w:p>
        </w:tc>
      </w:tr>
      <w:tr w:rsidR="006B7D06" w14:paraId="036466C5" w14:textId="77777777" w:rsidTr="009F3392">
        <w:trPr>
          <w:trHeight w:val="366"/>
        </w:trPr>
        <w:tc>
          <w:tcPr>
            <w:tcW w:w="6804" w:type="dxa"/>
          </w:tcPr>
          <w:p w14:paraId="2903A3E7"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Conoscenza del contesto territoriale e del settore socioeconomico di riferimento</w:t>
            </w:r>
          </w:p>
        </w:tc>
        <w:tc>
          <w:tcPr>
            <w:tcW w:w="1701" w:type="dxa"/>
          </w:tcPr>
          <w:p w14:paraId="0BB394E9"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3</w:t>
            </w:r>
          </w:p>
        </w:tc>
      </w:tr>
      <w:tr w:rsidR="006B7D06" w14:paraId="73D3CAC6" w14:textId="77777777">
        <w:tc>
          <w:tcPr>
            <w:tcW w:w="6804" w:type="dxa"/>
          </w:tcPr>
          <w:p w14:paraId="3DC748EA" w14:textId="77777777" w:rsidR="006B7D06" w:rsidRDefault="009F3392" w:rsidP="009F3392">
            <w:pPr>
              <w:jc w:val="both"/>
              <w:rPr>
                <w:rFonts w:ascii="Cambria" w:eastAsia="Cambria" w:hAnsi="Cambria" w:cs="Cambria"/>
                <w:sz w:val="24"/>
                <w:szCs w:val="24"/>
              </w:rPr>
            </w:pPr>
            <w:r>
              <w:rPr>
                <w:rFonts w:ascii="Cambria" w:eastAsia="Cambria" w:hAnsi="Cambria" w:cs="Cambria"/>
                <w:sz w:val="24"/>
                <w:szCs w:val="24"/>
              </w:rPr>
              <w:t>Competenze acquisite, anche con riferimento a capacità innovative e creative</w:t>
            </w:r>
          </w:p>
        </w:tc>
        <w:tc>
          <w:tcPr>
            <w:tcW w:w="1701" w:type="dxa"/>
          </w:tcPr>
          <w:p w14:paraId="21451F70" w14:textId="77777777" w:rsidR="006B7D06" w:rsidRDefault="009F3392">
            <w:pPr>
              <w:jc w:val="center"/>
              <w:rPr>
                <w:rFonts w:ascii="Cambria" w:eastAsia="Cambria" w:hAnsi="Cambria" w:cs="Cambria"/>
                <w:sz w:val="24"/>
                <w:szCs w:val="24"/>
              </w:rPr>
            </w:pPr>
            <w:r>
              <w:rPr>
                <w:rFonts w:ascii="Cambria" w:eastAsia="Cambria" w:hAnsi="Cambria" w:cs="Cambria"/>
                <w:sz w:val="24"/>
                <w:szCs w:val="24"/>
              </w:rPr>
              <w:t>5</w:t>
            </w:r>
          </w:p>
        </w:tc>
      </w:tr>
    </w:tbl>
    <w:p w14:paraId="1F170BE3" w14:textId="77777777" w:rsidR="006B7D06" w:rsidRDefault="006B7D06">
      <w:pPr>
        <w:jc w:val="both"/>
        <w:rPr>
          <w:rFonts w:ascii="Cambria" w:eastAsia="Cambria" w:hAnsi="Cambria" w:cs="Cambria"/>
          <w:sz w:val="24"/>
          <w:szCs w:val="24"/>
        </w:rPr>
      </w:pPr>
    </w:p>
    <w:p w14:paraId="522FC3FA" w14:textId="77777777" w:rsidR="006B7D06" w:rsidRDefault="009F3392">
      <w:pPr>
        <w:jc w:val="both"/>
        <w:rPr>
          <w:rFonts w:ascii="Cambria" w:eastAsia="Cambria" w:hAnsi="Cambria" w:cs="Cambria"/>
          <w:sz w:val="24"/>
          <w:szCs w:val="24"/>
        </w:rPr>
      </w:pPr>
      <w:r>
        <w:rPr>
          <w:rFonts w:ascii="Cambria" w:eastAsia="Cambria" w:hAnsi="Cambria" w:cs="Cambria"/>
          <w:sz w:val="24"/>
          <w:szCs w:val="24"/>
        </w:rPr>
        <w:t>La commissione integrerà gli indicatori con la relativa declinazione dei descrittori.</w:t>
      </w:r>
    </w:p>
    <w:p w14:paraId="0D7E36B9" w14:textId="77777777" w:rsidR="006B7D06" w:rsidRDefault="006B7D06">
      <w:pPr>
        <w:rPr>
          <w:rFonts w:ascii="Cambria" w:eastAsia="Cambria" w:hAnsi="Cambria" w:cs="Cambria"/>
        </w:rPr>
      </w:pPr>
    </w:p>
    <w:p w14:paraId="3E061613" w14:textId="77777777" w:rsidR="006B7D06" w:rsidRDefault="006B7D06">
      <w:pPr>
        <w:rPr>
          <w:rFonts w:ascii="Cambria" w:eastAsia="Cambria" w:hAnsi="Cambria" w:cs="Cambria"/>
        </w:rPr>
      </w:pPr>
    </w:p>
    <w:sectPr w:rsidR="006B7D06">
      <w:pgSz w:w="11880" w:h="16840"/>
      <w:pgMar w:top="1135" w:right="1745" w:bottom="758" w:left="1796"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F665F"/>
    <w:multiLevelType w:val="multilevel"/>
    <w:tmpl w:val="0CBE1136"/>
    <w:lvl w:ilvl="0">
      <w:start w:val="1"/>
      <w:numFmt w:val="bullet"/>
      <w:lvlText w:val="●"/>
      <w:lvlJc w:val="left"/>
      <w:pPr>
        <w:ind w:left="767" w:hanging="360"/>
      </w:pPr>
      <w:rPr>
        <w:rFonts w:ascii="Noto Sans Symbols" w:eastAsia="Noto Sans Symbols" w:hAnsi="Noto Sans Symbols" w:cs="Noto Sans Symbols"/>
      </w:rPr>
    </w:lvl>
    <w:lvl w:ilvl="1">
      <w:start w:val="1"/>
      <w:numFmt w:val="bullet"/>
      <w:lvlText w:val="o"/>
      <w:lvlJc w:val="left"/>
      <w:pPr>
        <w:ind w:left="1487" w:hanging="360"/>
      </w:pPr>
      <w:rPr>
        <w:rFonts w:ascii="Courier New" w:eastAsia="Courier New" w:hAnsi="Courier New" w:cs="Courier New"/>
      </w:rPr>
    </w:lvl>
    <w:lvl w:ilvl="2">
      <w:start w:val="1"/>
      <w:numFmt w:val="bullet"/>
      <w:lvlText w:val="▪"/>
      <w:lvlJc w:val="left"/>
      <w:pPr>
        <w:ind w:left="2207" w:hanging="360"/>
      </w:pPr>
      <w:rPr>
        <w:rFonts w:ascii="Noto Sans Symbols" w:eastAsia="Noto Sans Symbols" w:hAnsi="Noto Sans Symbols" w:cs="Noto Sans Symbols"/>
      </w:rPr>
    </w:lvl>
    <w:lvl w:ilvl="3">
      <w:start w:val="1"/>
      <w:numFmt w:val="bullet"/>
      <w:lvlText w:val="●"/>
      <w:lvlJc w:val="left"/>
      <w:pPr>
        <w:ind w:left="2927" w:hanging="360"/>
      </w:pPr>
      <w:rPr>
        <w:rFonts w:ascii="Noto Sans Symbols" w:eastAsia="Noto Sans Symbols" w:hAnsi="Noto Sans Symbols" w:cs="Noto Sans Symbols"/>
      </w:rPr>
    </w:lvl>
    <w:lvl w:ilvl="4">
      <w:start w:val="1"/>
      <w:numFmt w:val="bullet"/>
      <w:lvlText w:val="o"/>
      <w:lvlJc w:val="left"/>
      <w:pPr>
        <w:ind w:left="3647" w:hanging="360"/>
      </w:pPr>
      <w:rPr>
        <w:rFonts w:ascii="Courier New" w:eastAsia="Courier New" w:hAnsi="Courier New" w:cs="Courier New"/>
      </w:rPr>
    </w:lvl>
    <w:lvl w:ilvl="5">
      <w:start w:val="1"/>
      <w:numFmt w:val="bullet"/>
      <w:lvlText w:val="▪"/>
      <w:lvlJc w:val="left"/>
      <w:pPr>
        <w:ind w:left="4367" w:hanging="360"/>
      </w:pPr>
      <w:rPr>
        <w:rFonts w:ascii="Noto Sans Symbols" w:eastAsia="Noto Sans Symbols" w:hAnsi="Noto Sans Symbols" w:cs="Noto Sans Symbols"/>
      </w:rPr>
    </w:lvl>
    <w:lvl w:ilvl="6">
      <w:start w:val="1"/>
      <w:numFmt w:val="bullet"/>
      <w:lvlText w:val="●"/>
      <w:lvlJc w:val="left"/>
      <w:pPr>
        <w:ind w:left="5087" w:hanging="360"/>
      </w:pPr>
      <w:rPr>
        <w:rFonts w:ascii="Noto Sans Symbols" w:eastAsia="Noto Sans Symbols" w:hAnsi="Noto Sans Symbols" w:cs="Noto Sans Symbols"/>
      </w:rPr>
    </w:lvl>
    <w:lvl w:ilvl="7">
      <w:start w:val="1"/>
      <w:numFmt w:val="bullet"/>
      <w:lvlText w:val="o"/>
      <w:lvlJc w:val="left"/>
      <w:pPr>
        <w:ind w:left="5807" w:hanging="360"/>
      </w:pPr>
      <w:rPr>
        <w:rFonts w:ascii="Courier New" w:eastAsia="Courier New" w:hAnsi="Courier New" w:cs="Courier New"/>
      </w:rPr>
    </w:lvl>
    <w:lvl w:ilvl="8">
      <w:start w:val="1"/>
      <w:numFmt w:val="bullet"/>
      <w:lvlText w:val="▪"/>
      <w:lvlJc w:val="left"/>
      <w:pPr>
        <w:ind w:left="6527"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D06"/>
    <w:rsid w:val="006B7D06"/>
    <w:rsid w:val="009F3392"/>
    <w:rsid w:val="00C370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602A8"/>
  <w15:docId w15:val="{73445C72-818D-4E17-A3DD-51B63FFD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top w:w="100" w:type="dxa"/>
        <w:left w:w="100" w:type="dxa"/>
        <w:bottom w:w="100" w:type="dxa"/>
        <w:right w:w="100" w:type="dxa"/>
      </w:tblCellMar>
    </w:tblPr>
  </w:style>
  <w:style w:type="table" w:customStyle="1" w:styleId="a0">
    <w:basedOn w:val="TableNormal5"/>
    <w:tblPr>
      <w:tblStyleRowBandSize w:val="1"/>
      <w:tblStyleColBandSize w:val="1"/>
      <w:tblCellMar>
        <w:top w:w="100" w:type="dxa"/>
        <w:left w:w="100" w:type="dxa"/>
        <w:bottom w:w="100" w:type="dxa"/>
        <w:right w:w="100" w:type="dxa"/>
      </w:tblCellMar>
    </w:tblPr>
  </w:style>
  <w:style w:type="table" w:customStyle="1" w:styleId="a1">
    <w:basedOn w:val="TableNormal5"/>
    <w:tblPr>
      <w:tblStyleRowBandSize w:val="1"/>
      <w:tblStyleColBandSize w:val="1"/>
      <w:tblCellMar>
        <w:top w:w="100" w:type="dxa"/>
        <w:left w:w="100" w:type="dxa"/>
        <w:bottom w:w="100" w:type="dxa"/>
        <w:right w:w="100" w:type="dxa"/>
      </w:tblCellMar>
    </w:tblPr>
  </w:style>
  <w:style w:type="table" w:customStyle="1" w:styleId="a2">
    <w:basedOn w:val="TableNormal5"/>
    <w:tblPr>
      <w:tblStyleRowBandSize w:val="1"/>
      <w:tblStyleColBandSize w:val="1"/>
      <w:tblCellMar>
        <w:top w:w="100" w:type="dxa"/>
        <w:left w:w="100" w:type="dxa"/>
        <w:bottom w:w="100" w:type="dxa"/>
        <w:right w:w="100" w:type="dxa"/>
      </w:tblCellMar>
    </w:tblPr>
  </w:style>
  <w:style w:type="table" w:customStyle="1" w:styleId="a3">
    <w:basedOn w:val="TableNormal5"/>
    <w:tblPr>
      <w:tblStyleRowBandSize w:val="1"/>
      <w:tblStyleColBandSize w:val="1"/>
      <w:tblCellMar>
        <w:top w:w="100" w:type="dxa"/>
        <w:left w:w="100" w:type="dxa"/>
        <w:bottom w:w="100" w:type="dxa"/>
        <w:right w:w="100" w:type="dxa"/>
      </w:tblCellMar>
    </w:tblPr>
  </w:style>
  <w:style w:type="table" w:customStyle="1" w:styleId="a4">
    <w:basedOn w:val="TableNormal5"/>
    <w:tblPr>
      <w:tblStyleRowBandSize w:val="1"/>
      <w:tblStyleColBandSize w:val="1"/>
      <w:tblCellMar>
        <w:top w:w="100" w:type="dxa"/>
        <w:left w:w="100" w:type="dxa"/>
        <w:bottom w:w="100" w:type="dxa"/>
        <w:right w:w="100" w:type="dxa"/>
      </w:tblCellMar>
    </w:tblPr>
  </w:style>
  <w:style w:type="table" w:customStyle="1" w:styleId="a5">
    <w:basedOn w:val="TableNormal5"/>
    <w:tblPr>
      <w:tblStyleRowBandSize w:val="1"/>
      <w:tblStyleColBandSize w:val="1"/>
      <w:tblCellMar>
        <w:top w:w="100" w:type="dxa"/>
        <w:left w:w="100" w:type="dxa"/>
        <w:bottom w:w="100" w:type="dxa"/>
        <w:right w:w="100" w:type="dxa"/>
      </w:tblCellMar>
    </w:tblPr>
  </w:style>
  <w:style w:type="table" w:customStyle="1" w:styleId="a6">
    <w:basedOn w:val="TableNormal5"/>
    <w:tblPr>
      <w:tblStyleRowBandSize w:val="1"/>
      <w:tblStyleColBandSize w:val="1"/>
      <w:tblCellMar>
        <w:top w:w="100" w:type="dxa"/>
        <w:left w:w="100" w:type="dxa"/>
        <w:bottom w:w="100" w:type="dxa"/>
        <w:right w:w="100" w:type="dxa"/>
      </w:tblCellMar>
    </w:tblPr>
  </w:style>
  <w:style w:type="table" w:customStyle="1" w:styleId="a7">
    <w:basedOn w:val="TableNormal5"/>
    <w:tblPr>
      <w:tblStyleRowBandSize w:val="1"/>
      <w:tblStyleColBandSize w:val="1"/>
      <w:tblCellMar>
        <w:top w:w="100" w:type="dxa"/>
        <w:left w:w="100" w:type="dxa"/>
        <w:bottom w:w="100" w:type="dxa"/>
        <w:right w:w="100" w:type="dxa"/>
      </w:tblCellMar>
    </w:tblPr>
  </w:style>
  <w:style w:type="table" w:customStyle="1" w:styleId="a8">
    <w:basedOn w:val="TableNormal5"/>
    <w:tblPr>
      <w:tblStyleRowBandSize w:val="1"/>
      <w:tblStyleColBandSize w:val="1"/>
      <w:tblCellMar>
        <w:top w:w="100" w:type="dxa"/>
        <w:left w:w="100" w:type="dxa"/>
        <w:bottom w:w="100" w:type="dxa"/>
        <w:right w:w="100" w:type="dxa"/>
      </w:tblCellMar>
    </w:tblPr>
  </w:style>
  <w:style w:type="table" w:customStyle="1" w:styleId="a9">
    <w:basedOn w:val="TableNormal5"/>
    <w:tblPr>
      <w:tblStyleRowBandSize w:val="1"/>
      <w:tblStyleColBandSize w:val="1"/>
      <w:tblCellMar>
        <w:top w:w="100" w:type="dxa"/>
        <w:left w:w="100" w:type="dxa"/>
        <w:bottom w:w="100" w:type="dxa"/>
        <w:right w:w="100" w:type="dxa"/>
      </w:tblCellMar>
    </w:tblPr>
  </w:style>
  <w:style w:type="table" w:customStyle="1" w:styleId="aa">
    <w:basedOn w:val="TableNormal5"/>
    <w:tblPr>
      <w:tblStyleRowBandSize w:val="1"/>
      <w:tblStyleColBandSize w:val="1"/>
      <w:tblCellMar>
        <w:top w:w="100" w:type="dxa"/>
        <w:left w:w="100" w:type="dxa"/>
        <w:bottom w:w="100" w:type="dxa"/>
        <w:right w:w="100" w:type="dxa"/>
      </w:tblCellMar>
    </w:tblPr>
  </w:style>
  <w:style w:type="table" w:customStyle="1" w:styleId="ab">
    <w:basedOn w:val="TableNormal5"/>
    <w:tblPr>
      <w:tblStyleRowBandSize w:val="1"/>
      <w:tblStyleColBandSize w:val="1"/>
      <w:tblCellMar>
        <w:top w:w="100" w:type="dxa"/>
        <w:left w:w="100" w:type="dxa"/>
        <w:bottom w:w="100" w:type="dxa"/>
        <w:right w:w="100" w:type="dxa"/>
      </w:tblCellMar>
    </w:tblPr>
  </w:style>
  <w:style w:type="table" w:customStyle="1" w:styleId="ac">
    <w:basedOn w:val="TableNormal5"/>
    <w:tblPr>
      <w:tblStyleRowBandSize w:val="1"/>
      <w:tblStyleColBandSize w:val="1"/>
      <w:tblCellMar>
        <w:top w:w="100" w:type="dxa"/>
        <w:left w:w="100" w:type="dxa"/>
        <w:bottom w:w="100" w:type="dxa"/>
        <w:right w:w="100" w:type="dxa"/>
      </w:tblCellMar>
    </w:tblPr>
  </w:style>
  <w:style w:type="table" w:customStyle="1" w:styleId="ad">
    <w:basedOn w:val="TableNormal5"/>
    <w:tblPr>
      <w:tblStyleRowBandSize w:val="1"/>
      <w:tblStyleColBandSize w:val="1"/>
      <w:tblCellMar>
        <w:top w:w="100" w:type="dxa"/>
        <w:left w:w="100" w:type="dxa"/>
        <w:bottom w:w="100" w:type="dxa"/>
        <w:right w:w="100" w:type="dxa"/>
      </w:tblCellMar>
    </w:tblPr>
  </w:style>
  <w:style w:type="paragraph" w:styleId="Paragrafoelenco">
    <w:name w:val="List Paragraph"/>
    <w:basedOn w:val="Normale"/>
    <w:uiPriority w:val="34"/>
    <w:qFormat/>
    <w:rsid w:val="00775695"/>
    <w:pPr>
      <w:ind w:left="720"/>
      <w:contextualSpacing/>
    </w:pPr>
  </w:style>
  <w:style w:type="table" w:styleId="Grigliatabella">
    <w:name w:val="Table Grid"/>
    <w:basedOn w:val="Tabellanormale"/>
    <w:uiPriority w:val="39"/>
    <w:rsid w:val="007F79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0" w:type="dxa"/>
        <w:left w:w="108" w:type="dxa"/>
        <w:bottom w:w="0" w:type="dxa"/>
        <w:right w:w="108" w:type="dxa"/>
      </w:tblCellMar>
    </w:tblPr>
  </w:style>
  <w:style w:type="table" w:customStyle="1" w:styleId="af1">
    <w:basedOn w:val="TableNormal1"/>
    <w:tblPr>
      <w:tblStyleRowBandSize w:val="1"/>
      <w:tblStyleColBandSize w:val="1"/>
      <w:tblCellMar>
        <w:top w:w="0" w:type="dxa"/>
        <w:left w:w="108" w:type="dxa"/>
        <w:bottom w:w="0" w:type="dxa"/>
        <w:right w:w="108" w:type="dxa"/>
      </w:tblCellMar>
    </w:tblPr>
  </w:style>
  <w:style w:type="table" w:customStyle="1" w:styleId="af2">
    <w:basedOn w:val="TableNormal1"/>
    <w:tblPr>
      <w:tblStyleRowBandSize w:val="1"/>
      <w:tblStyleColBandSize w:val="1"/>
      <w:tblCellMar>
        <w:top w:w="0" w:type="dxa"/>
        <w:left w:w="108" w:type="dxa"/>
        <w:bottom w:w="0" w:type="dxa"/>
        <w:right w:w="108" w:type="dxa"/>
      </w:tblCellMar>
    </w:tblPr>
  </w:style>
  <w:style w:type="table" w:customStyle="1" w:styleId="af3">
    <w:basedOn w:val="TableNormal1"/>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XAtQHJvHnRfoPfxULE4WwOFmCQ==">AMUW2mXqMP/JVOpGwwov1BML8UXg9jJ8JMPUFvW169Ic+73YhUcehPV8ZP43lpH6nCtbvPJAVRFisxH2UxL9Ycl2ZT7+ouRvZtBdfj+wDXIv4A+Hzj+sMXQ=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Giorda Flaminia</dc:creator>
  <cp:lastModifiedBy>ViceMary</cp:lastModifiedBy>
  <cp:revision>2</cp:revision>
  <dcterms:created xsi:type="dcterms:W3CDTF">2024-03-29T13:46:00Z</dcterms:created>
  <dcterms:modified xsi:type="dcterms:W3CDTF">2024-03-29T13:46:00Z</dcterms:modified>
</cp:coreProperties>
</file>